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枣庄高新区2023年惠民实事</w:t>
      </w:r>
    </w:p>
    <w:tbl>
      <w:tblPr>
        <w:tblStyle w:val="10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644"/>
        <w:gridCol w:w="6538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44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惠民事项</w:t>
            </w:r>
          </w:p>
        </w:tc>
        <w:tc>
          <w:tcPr>
            <w:tcW w:w="6538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具体内容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推进保障性安居工程建设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加快推进蒋庄村一期、宏图河片区、井字峪片区安居工程建设，建成安置房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4600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套，满足群众基本住房需求；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稳步推进国宾府、风华里一期供热工程建设，新增城市集中供热面积23万平方米，进一步强化热力保障能力。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国土住建局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开展老旧小区“有机更新”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推进光明花园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等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老旧小区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居住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环境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“有机更新”，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改善提升居民住宅面积2.6万平方米，惠及群众268户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，让居民幸福感“就地升温”。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国土住建局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延展</w:t>
            </w: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城市路网</w:t>
            </w:r>
            <w:r>
              <w:rPr>
                <w:rStyle w:val="11"/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体系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实施复元系列道路北延工程，精心打造复元三路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城市街景，启动张范产城融合示范区路网建设，改造提升欣兴路、振兴路，推动凤凰路二期道路东延，确保大连路西延年内建成通车。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国土住建局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综合执法局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auto"/>
                <w:lang w:val="en-US" w:eastAsia="zh-CN"/>
              </w:rPr>
              <w:t>高新投集团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实施雨污分流改造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改造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城区雨污合流管网6公里，实现全区城市建成区雨污合流管网清零，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切实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增强城区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污水收集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防洪排涝能力。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增建公园游园绿地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启动袁寨山、杏峪等一批山体公园和滨水公园建设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，新增“口袋公园”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绿化节点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10处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，提升改造生态街巷10条，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打造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行道树修剪示范路3条，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拓展市民休闲空间。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推行智慧停车服务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改造提升人才公园、凤凰山公园、新大都商业楼、东方之润智慧停车场4个，新增三亚路、凤凰路公共停车泊位200个，通过智慧停车应用APP，实现无感支付、智能引导等。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开展“无废城市”建设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完善城乡垃圾收运处理体系，确保全区生活垃圾无害化处理率保持100%，生活垃圾分类示范镇街建成率达到100%。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position w:val="0"/>
                <w:sz w:val="28"/>
                <w:szCs w:val="28"/>
                <w:lang w:val="en-US" w:eastAsia="zh-CN"/>
              </w:rPr>
              <w:t>发展壮大村集体经济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采取“村村单建、村企联建、‘飞地’”等模式，持续推进“一村一厂房”建设，进一步推动村集体经济提质增效，切实助力抓党建促乡村振兴。</w:t>
            </w:r>
          </w:p>
        </w:tc>
        <w:tc>
          <w:tcPr>
            <w:tcW w:w="3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党群工作部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推进农村生活污水治理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推进农村生活污水全域治理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完成16个行政村生活污水治理，实现农村黑臭水体动态清零，基本消除农村生活污水横流、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乱排乱放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现象。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提升养老服务品质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建设高新区养老康复服务中心，项目占地约19.8亩，配套养老康复床位300张，推动养老服务提质升级，解决老年人实际需求。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实施“四好农村路”提升工程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新建匡山头、匡山腰、西谷山村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公里，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大中修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民兴路3.8公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里，进一步提升农村人居环境，助推乡村振兴。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实施残疾人康复救助项目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新建“如康家园”2处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为42名残疾儿童提供康复救助服务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资助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符合条件的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脑瘫、癫痫等残疾人接受功能神经外科手术治疗。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实施城乡医保惠民计划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城乡居民基本医疗保险参保老人，免除70周岁以上老年人的参保费用每人每年350元，减免60-69周岁老年人50%的参保费用每人每年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175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开展重点群体就业促进行动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深化公益性岗位提质扩容行动，开发岗位489个；全区新增城镇就业1048人；发放创业担保贷款20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万元。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实施政策性小麦、玉米保险全覆盖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实施政策性小麦、玉米保险全覆盖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在执行省级小麦、玉米保险政策的基础上，进一步减轻农户保费负担，由区级承担剩余2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%的保费，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承保面积约7.4万亩，减轻农民负担30余万元，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切实增强农民抵御自然灾害和意外事故风险的能力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开展文化健身拓展行动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举办“每年每村一场戏”43场、“每月每村一场电影”516场，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开展惠民演出等系列活动，推进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“城市书房”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建设工程；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组织开展“悦跑枣庄”路跑系列赛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社区运动会比赛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6场。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深入推进</w:t>
            </w: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“山水林田大会战”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改造提升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宏图河河道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综合治理横山口南坡山体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实施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西谷山水库、龙山水库基础设施增容扩容工程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，开展林业有害生物防治8万亩。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打造“智助办”政务服务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在政务服务地图创新叠加预约服务、可视化位置导航等特色服务功能，提供智能指引。选取20个高频政务事项，开展智能咨询、智能线上视频帮智能身份核验、智能填表、智能帮办审核、智能审批等功能创新，提升网上可办率和全程网办率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实施电力基础设施建设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启动110kV府前输变电工程建设，改善张范产城融合示范区电网网架结构，为企业提供稳定、优质的电力服务，同时满足周边居民用电需求，带动地区经济高质量发展。</w:t>
            </w:r>
          </w:p>
        </w:tc>
        <w:tc>
          <w:tcPr>
            <w:tcW w:w="3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供电中心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6"/>
                <w:position w:val="0"/>
                <w:sz w:val="28"/>
                <w:szCs w:val="28"/>
                <w:lang w:val="en-US" w:eastAsia="zh-CN"/>
              </w:rPr>
              <w:t>打造城区“3分钟充电服务圈”</w:t>
            </w:r>
          </w:p>
        </w:tc>
        <w:tc>
          <w:tcPr>
            <w:tcW w:w="6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拓展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电动汽车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充电设施布点，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充电站10处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增设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快充桩38个、慢充桩32个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在居民小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  <w:lang w:val="en-US" w:eastAsia="zh-CN"/>
              </w:rPr>
              <w:t>安装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</w:rPr>
              <w:t>充电桩表箱200个，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  <w:lang w:val="en-US" w:eastAsia="zh-CN"/>
              </w:rPr>
              <w:t>持续提高居民充电便利度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Hans"/>
              </w:rPr>
              <w:t>供电中心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Style w:val="11"/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0000000"/>
    <w:rsid w:val="698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2023-03-16T09:17:03Z</dcterms:created>
  <dc:creator>Administrator</dc:creator>
  <cp:lastModifiedBy>Administrator</cp:lastModifiedBy>
  <dcterms:modified xsi:type="dcterms:W3CDTF">2023-03-16T09:17:33Z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BB23B739C7A642B187A879C5C50A4F59</vt:lpwstr>
  </property>
</Properties>
</file>